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21" w:rsidRDefault="00D36D21" w:rsidP="0064320C">
      <w:pPr>
        <w:pStyle w:val="BodyText"/>
        <w:spacing w:before="90"/>
        <w:ind w:left="161" w:right="155"/>
        <w:jc w:val="both"/>
        <w:rPr>
          <w:sz w:val="22"/>
          <w:szCs w:val="20"/>
        </w:rPr>
      </w:pPr>
      <w:hyperlink r:id="rId7" w:history="1">
        <w:r>
          <w:rPr>
            <w:sz w:val="22"/>
            <w:szCs w:val="20"/>
          </w:rPr>
          <w:t>Protocolo de actuación: M</w:t>
        </w:r>
        <w:r w:rsidRPr="000374B7">
          <w:rPr>
            <w:sz w:val="22"/>
            <w:szCs w:val="20"/>
          </w:rPr>
          <w:t xml:space="preserve">edidas de seguridad e higiene para evitar el contagio y propagación del COVID 19 en la celebración de </w:t>
        </w:r>
        <w:r>
          <w:rPr>
            <w:sz w:val="22"/>
            <w:szCs w:val="20"/>
          </w:rPr>
          <w:t>pruebas en procesos selectivos</w:t>
        </w:r>
      </w:hyperlink>
      <w:r>
        <w:rPr>
          <w:sz w:val="22"/>
          <w:szCs w:val="20"/>
        </w:rPr>
        <w:t xml:space="preserve"> organizados por el Ayuntamiento de Ronda.</w:t>
      </w:r>
    </w:p>
    <w:p w:rsidR="00D36D21" w:rsidRDefault="00D36D21" w:rsidP="0064320C">
      <w:pPr>
        <w:pStyle w:val="BodyText"/>
        <w:spacing w:before="90"/>
        <w:ind w:left="161" w:right="155"/>
        <w:jc w:val="both"/>
        <w:rPr>
          <w:sz w:val="22"/>
          <w:szCs w:val="20"/>
        </w:rPr>
      </w:pPr>
    </w:p>
    <w:p w:rsidR="00D36D21" w:rsidRPr="00B60D27" w:rsidRDefault="00D36D21" w:rsidP="0064320C">
      <w:pPr>
        <w:pStyle w:val="BodyText"/>
        <w:spacing w:before="90"/>
        <w:ind w:left="161" w:right="155"/>
        <w:jc w:val="both"/>
        <w:rPr>
          <w:b/>
          <w:bCs/>
          <w:sz w:val="22"/>
          <w:szCs w:val="22"/>
        </w:rPr>
      </w:pPr>
    </w:p>
    <w:p w:rsidR="00D36D21" w:rsidRPr="00AF1906" w:rsidRDefault="00D36D21" w:rsidP="00AF1906">
      <w:pPr>
        <w:spacing w:before="120" w:line="244" w:lineRule="auto"/>
        <w:ind w:right="173"/>
        <w:jc w:val="both"/>
        <w:rPr>
          <w:b/>
          <w:bCs/>
          <w:u w:val="single"/>
        </w:rPr>
      </w:pPr>
      <w:r w:rsidRPr="00AF1906">
        <w:rPr>
          <w:b/>
          <w:bCs/>
          <w:u w:val="single"/>
        </w:rPr>
        <w:t>MEDIDAS DE SEGURIDAD E HIGIENE PARA LOS PARTICIPANTES EN EL PROCESO SELECTIVO</w:t>
      </w:r>
    </w:p>
    <w:p w:rsidR="00D36D21" w:rsidRDefault="00D36D21" w:rsidP="00AF1906">
      <w:pPr>
        <w:pStyle w:val="ListParagraph"/>
        <w:numPr>
          <w:ilvl w:val="0"/>
          <w:numId w:val="1"/>
        </w:numPr>
        <w:spacing w:before="120" w:line="244" w:lineRule="auto"/>
        <w:ind w:left="396" w:right="173" w:hanging="425"/>
        <w:jc w:val="both"/>
      </w:pPr>
      <w:r>
        <w:t xml:space="preserve">Los participantes y resto de personal deberán </w:t>
      </w:r>
      <w:r w:rsidRPr="00AF1906">
        <w:rPr>
          <w:b/>
          <w:bCs/>
        </w:rPr>
        <w:t xml:space="preserve">usar obligatoriamente mascarilla </w:t>
      </w:r>
      <w:r w:rsidRPr="00AF1906">
        <w:t>en todo momento</w:t>
      </w:r>
      <w:r>
        <w:t xml:space="preserve">, aunque se mantenga las distancia interpersonal de </w:t>
      </w:r>
      <w:smartTag w:uri="urn:schemas-microsoft-com:office:smarttags" w:element="metricconverter">
        <w:smartTagPr>
          <w:attr w:name="ProductID" w:val="1,5 metros"/>
        </w:smartTagPr>
        <w:r>
          <w:t>1,5 metros</w:t>
        </w:r>
      </w:smartTag>
      <w:r>
        <w:t>.</w:t>
      </w:r>
      <w:r w:rsidRPr="002C2CDA">
        <w:rPr>
          <w:rFonts w:ascii="Calibri" w:hAnsi="Calibri" w:cs="Calibri"/>
          <w:w w:val="95"/>
        </w:rPr>
        <w:t xml:space="preserve"> </w:t>
      </w:r>
      <w:r w:rsidRPr="002C2CDA">
        <w:t xml:space="preserve">No se permitirá la entrada </w:t>
      </w:r>
      <w:r>
        <w:t>a</w:t>
      </w:r>
      <w:r w:rsidRPr="002C2CDA">
        <w:t xml:space="preserve"> ninguna persona desprovista de mascarilla protectora, que deberá cubrir boca y nariz mientras se permanezca en el recinto</w:t>
      </w:r>
      <w:r>
        <w:t xml:space="preserve">, </w:t>
      </w:r>
      <w:r w:rsidRPr="002C2CDA">
        <w:t>no siendo permitidas las mascarillas con válvula</w:t>
      </w:r>
      <w:r>
        <w:t xml:space="preserve"> de exhalación</w:t>
      </w:r>
      <w:r w:rsidRPr="002C2CDA">
        <w:t>. No se permitirá el uso de guantes por parte de los opositores.</w:t>
      </w:r>
    </w:p>
    <w:p w:rsidR="00D36D21" w:rsidRDefault="00D36D21" w:rsidP="00AF1906">
      <w:pPr>
        <w:pStyle w:val="ListParagraph"/>
        <w:numPr>
          <w:ilvl w:val="0"/>
          <w:numId w:val="1"/>
        </w:numPr>
        <w:spacing w:before="120" w:line="244" w:lineRule="auto"/>
        <w:ind w:left="396" w:right="173" w:hanging="425"/>
        <w:jc w:val="both"/>
      </w:pPr>
      <w:r>
        <w:t xml:space="preserve">Se deberá mantener </w:t>
      </w:r>
      <w:r w:rsidRPr="00AF1906">
        <w:t xml:space="preserve">una </w:t>
      </w:r>
      <w:r w:rsidRPr="00AF1906">
        <w:rPr>
          <w:b/>
          <w:bCs/>
        </w:rPr>
        <w:t xml:space="preserve">distancia interpersonal de </w:t>
      </w:r>
      <w:smartTag w:uri="urn:schemas-microsoft-com:office:smarttags" w:element="metricconverter">
        <w:smartTagPr>
          <w:attr w:name="ProductID" w:val="1,5 metros"/>
        </w:smartTagPr>
        <w:r w:rsidRPr="00AF1906">
          <w:rPr>
            <w:b/>
            <w:bCs/>
          </w:rPr>
          <w:t>1,5 metros</w:t>
        </w:r>
      </w:smartTag>
      <w:r>
        <w:rPr>
          <w:b/>
          <w:bCs/>
        </w:rPr>
        <w:t xml:space="preserve"> </w:t>
      </w:r>
      <w:r w:rsidRPr="00AF1906">
        <w:t>en zonas comunes, lugares de espera, acceso</w:t>
      </w:r>
      <w:r>
        <w:t>s</w:t>
      </w:r>
      <w:r w:rsidRPr="00AF1906">
        <w:t xml:space="preserve"> al recinto, etc.</w:t>
      </w:r>
    </w:p>
    <w:p w:rsidR="00D36D21" w:rsidRDefault="00D36D21" w:rsidP="002C2CDA">
      <w:pPr>
        <w:pStyle w:val="ListParagraph"/>
        <w:numPr>
          <w:ilvl w:val="0"/>
          <w:numId w:val="1"/>
        </w:numPr>
        <w:spacing w:before="120" w:line="244" w:lineRule="auto"/>
        <w:ind w:left="396" w:right="173" w:hanging="425"/>
        <w:jc w:val="both"/>
      </w:pPr>
      <w:r w:rsidRPr="00AF1906">
        <w:t xml:space="preserve">Se recomienda que los </w:t>
      </w:r>
      <w:r>
        <w:t>participantes</w:t>
      </w:r>
      <w:r w:rsidRPr="00AF1906">
        <w:t xml:space="preserve"> </w:t>
      </w:r>
      <w:r w:rsidRPr="00AF1906">
        <w:rPr>
          <w:b/>
          <w:bCs/>
        </w:rPr>
        <w:t xml:space="preserve">no acudan acompañados </w:t>
      </w:r>
      <w:r w:rsidRPr="00AF1906">
        <w:t>para así evitar aglomeraciones, prohibiendo su acceso al recinto.</w:t>
      </w:r>
      <w:r w:rsidRPr="002C2CDA">
        <w:rPr>
          <w:rFonts w:ascii="Calibri" w:hAnsi="Calibri" w:cs="Calibri"/>
          <w:w w:val="95"/>
        </w:rPr>
        <w:t xml:space="preserve"> </w:t>
      </w:r>
      <w:r w:rsidRPr="002C2CDA">
        <w:t>Sólo se permitirá el acceso a los edificios a los opositores que realicen las pruebas y personal implicado en el desarrollo de las mismas.</w:t>
      </w:r>
    </w:p>
    <w:p w:rsidR="00D36D21" w:rsidRDefault="00D36D21" w:rsidP="00AF1906">
      <w:pPr>
        <w:pStyle w:val="ListParagraph"/>
        <w:numPr>
          <w:ilvl w:val="0"/>
          <w:numId w:val="1"/>
        </w:numPr>
        <w:spacing w:before="120" w:line="244" w:lineRule="auto"/>
        <w:ind w:left="396" w:right="173" w:hanging="425"/>
        <w:jc w:val="both"/>
      </w:pPr>
      <w:r w:rsidRPr="00AF1906">
        <w:t xml:space="preserve">Los </w:t>
      </w:r>
      <w:r>
        <w:t>participantes</w:t>
      </w:r>
      <w:r w:rsidRPr="00AF1906">
        <w:t xml:space="preserve"> </w:t>
      </w:r>
      <w:r w:rsidRPr="00AF1906">
        <w:rPr>
          <w:b/>
          <w:bCs/>
        </w:rPr>
        <w:t>esperarán en el exterior del recinto a ser llamados por el tribunal</w:t>
      </w:r>
      <w:r w:rsidRPr="00AF1906">
        <w:t xml:space="preserve"> de forma ordenada, manteniendo en todo momento las distancia interpersonal. La mesa y silla asignada en </w:t>
      </w:r>
      <w:r>
        <w:t>el inicio</w:t>
      </w:r>
      <w:r w:rsidRPr="00AF1906">
        <w:t xml:space="preserve"> se</w:t>
      </w:r>
      <w:r>
        <w:t>rá la misma</w:t>
      </w:r>
      <w:r w:rsidRPr="00AF1906">
        <w:t xml:space="preserve"> en todo el transcurso de la prueba.</w:t>
      </w:r>
    </w:p>
    <w:p w:rsidR="00D36D21" w:rsidRPr="00AF1906" w:rsidRDefault="00D36D21" w:rsidP="00CA42EA">
      <w:pPr>
        <w:pStyle w:val="ListParagraph"/>
        <w:numPr>
          <w:ilvl w:val="0"/>
          <w:numId w:val="1"/>
        </w:numPr>
        <w:spacing w:before="120" w:line="244" w:lineRule="auto"/>
        <w:ind w:left="396" w:right="173" w:hanging="425"/>
        <w:jc w:val="both"/>
      </w:pPr>
      <w:r w:rsidRPr="00CA42EA">
        <w:t xml:space="preserve">Los participantes deberán desinfectarse las manos con </w:t>
      </w:r>
      <w:r w:rsidRPr="00CA42EA">
        <w:rPr>
          <w:b/>
          <w:bCs/>
        </w:rPr>
        <w:t>solución hidroalcohólica</w:t>
      </w:r>
      <w:r w:rsidRPr="00CA42EA">
        <w:t>, al menos, al entrar y salir del recinto.</w:t>
      </w:r>
    </w:p>
    <w:p w:rsidR="00D36D21" w:rsidRPr="009429B5" w:rsidRDefault="00D36D21" w:rsidP="00AF1906">
      <w:pPr>
        <w:pStyle w:val="ListParagraph"/>
        <w:numPr>
          <w:ilvl w:val="0"/>
          <w:numId w:val="1"/>
        </w:numPr>
        <w:spacing w:before="120" w:line="244" w:lineRule="auto"/>
        <w:ind w:left="396" w:right="173" w:hanging="425"/>
        <w:jc w:val="both"/>
      </w:pPr>
      <w:r>
        <w:t xml:space="preserve">Los participantes y resto de personal </w:t>
      </w:r>
      <w:r w:rsidRPr="008549B4">
        <w:rPr>
          <w:b/>
          <w:bCs/>
        </w:rPr>
        <w:t xml:space="preserve">NO deberán asistir </w:t>
      </w:r>
      <w:r>
        <w:rPr>
          <w:b/>
          <w:bCs/>
        </w:rPr>
        <w:t>a la prueba</w:t>
      </w:r>
      <w:r w:rsidRPr="00DC0542">
        <w:t xml:space="preserve"> en lo</w:t>
      </w:r>
      <w:r>
        <w:t>s</w:t>
      </w:r>
      <w:r w:rsidRPr="00DC0542">
        <w:t xml:space="preserve"> siguientes supuestos:</w:t>
      </w:r>
    </w:p>
    <w:p w:rsidR="00D36D21" w:rsidRPr="009429B5" w:rsidRDefault="00D36D21" w:rsidP="00AF1906">
      <w:pPr>
        <w:pStyle w:val="ListParagraph"/>
        <w:numPr>
          <w:ilvl w:val="1"/>
          <w:numId w:val="4"/>
        </w:numPr>
        <w:tabs>
          <w:tab w:val="left" w:pos="680"/>
        </w:tabs>
        <w:spacing w:before="131" w:line="230" w:lineRule="auto"/>
        <w:ind w:right="173"/>
        <w:jc w:val="both"/>
      </w:pPr>
      <w:r w:rsidRPr="009429B5">
        <w:t xml:space="preserve">Se encuentren en </w:t>
      </w:r>
      <w:r w:rsidRPr="00D63F9C">
        <w:rPr>
          <w:b/>
          <w:bCs/>
        </w:rPr>
        <w:t>aislamiento domiciliario</w:t>
      </w:r>
      <w:r w:rsidRPr="009429B5">
        <w:t xml:space="preserve"> por tener diagnóstico de COVID-19 o tengan alguno de los </w:t>
      </w:r>
      <w:r w:rsidRPr="00D63F9C">
        <w:rPr>
          <w:b/>
          <w:bCs/>
        </w:rPr>
        <w:t>síntomas</w:t>
      </w:r>
      <w:r w:rsidRPr="009429B5">
        <w:t xml:space="preserve"> compatibles (f</w:t>
      </w:r>
      <w:r>
        <w:t>iebre, tos, dificultad respirat</w:t>
      </w:r>
      <w:r w:rsidRPr="009429B5">
        <w:t>oria, etc.) con el COVID-19.</w:t>
      </w:r>
    </w:p>
    <w:p w:rsidR="00D36D21" w:rsidRDefault="00D36D21" w:rsidP="00AF1906">
      <w:pPr>
        <w:pStyle w:val="ListParagraph"/>
        <w:numPr>
          <w:ilvl w:val="1"/>
          <w:numId w:val="4"/>
        </w:numPr>
        <w:tabs>
          <w:tab w:val="left" w:pos="680"/>
        </w:tabs>
        <w:spacing w:before="131" w:line="230" w:lineRule="auto"/>
        <w:ind w:right="173"/>
        <w:jc w:val="both"/>
      </w:pPr>
      <w:r>
        <w:t>Q</w:t>
      </w:r>
      <w:r w:rsidRPr="009429B5">
        <w:t xml:space="preserve">ue, no teniendo síntomas, se encuentren en período de cuarentena domiciliaria por haber tenido </w:t>
      </w:r>
      <w:r w:rsidRPr="0072396C">
        <w:rPr>
          <w:b/>
          <w:bCs/>
        </w:rPr>
        <w:t>contacto</w:t>
      </w:r>
      <w:r w:rsidRPr="009429B5">
        <w:t xml:space="preserve"> </w:t>
      </w:r>
      <w:r w:rsidRPr="00F1053C">
        <w:rPr>
          <w:b/>
          <w:bCs/>
        </w:rPr>
        <w:t>estrecho</w:t>
      </w:r>
      <w:r>
        <w:t xml:space="preserve"> </w:t>
      </w:r>
      <w:r w:rsidRPr="009429B5">
        <w:t>con alguna persona con síntomas o diagnosticada de COVID-19.</w:t>
      </w:r>
    </w:p>
    <w:p w:rsidR="00D36D21" w:rsidRDefault="00D36D21" w:rsidP="00AF1906">
      <w:pPr>
        <w:pStyle w:val="ListParagraph"/>
        <w:numPr>
          <w:ilvl w:val="0"/>
          <w:numId w:val="1"/>
        </w:numPr>
        <w:spacing w:before="120" w:line="244" w:lineRule="auto"/>
        <w:ind w:left="396" w:right="173" w:hanging="425"/>
        <w:jc w:val="both"/>
      </w:pPr>
      <w:r>
        <w:t xml:space="preserve">Los participantes y personal organizador que </w:t>
      </w:r>
      <w:r w:rsidRPr="0067066A">
        <w:t xml:space="preserve">durante </w:t>
      </w:r>
      <w:r>
        <w:t>la prueba</w:t>
      </w:r>
      <w:r w:rsidRPr="0067066A">
        <w:t xml:space="preserve"> </w:t>
      </w:r>
      <w:r>
        <w:t xml:space="preserve">sufra </w:t>
      </w:r>
      <w:r w:rsidRPr="0067066A">
        <w:t>repentinamente</w:t>
      </w:r>
      <w:r w:rsidRPr="00D63F9C">
        <w:rPr>
          <w:b/>
          <w:bCs/>
        </w:rPr>
        <w:t xml:space="preserve"> síntomas</w:t>
      </w:r>
      <w:r w:rsidRPr="0067066A">
        <w:t xml:space="preserve"> de infección respiratoria de vías altas (</w:t>
      </w:r>
      <w:r w:rsidRPr="00D63F9C">
        <w:rPr>
          <w:b/>
          <w:bCs/>
        </w:rPr>
        <w:t>fiebre, tos, estornudos, sensación de fatiga,</w:t>
      </w:r>
      <w:r w:rsidRPr="0067066A">
        <w:t xml:space="preserve"> etc.), </w:t>
      </w:r>
      <w:r w:rsidRPr="00CA42EA">
        <w:rPr>
          <w:b/>
          <w:bCs/>
        </w:rPr>
        <w:t>deberán abandonar el recinto</w:t>
      </w:r>
      <w:r>
        <w:t>, apartándose</w:t>
      </w:r>
      <w:r w:rsidRPr="0067066A">
        <w:t xml:space="preserve"> del resto del persona</w:t>
      </w:r>
      <w:r>
        <w:t xml:space="preserve">s </w:t>
      </w:r>
      <w:r w:rsidRPr="0067066A">
        <w:t>lo antes posible, debe</w:t>
      </w:r>
      <w:r>
        <w:t xml:space="preserve">rá asegurarse que disponga de </w:t>
      </w:r>
      <w:r w:rsidRPr="0067066A">
        <w:t>una mascarilla tipo quirúrgico para evitar diseminar el virus (si es que lo tuviera) y marcharse a casa lo antes posible</w:t>
      </w:r>
      <w:r>
        <w:t>, si es posible, en su coche privado</w:t>
      </w:r>
      <w:r w:rsidRPr="0067066A">
        <w:t xml:space="preserve">, y desde </w:t>
      </w:r>
      <w:r>
        <w:t>casa</w:t>
      </w:r>
      <w:r w:rsidRPr="0067066A">
        <w:t xml:space="preserve"> contactar con su </w:t>
      </w:r>
      <w:r>
        <w:t>C</w:t>
      </w:r>
      <w:r w:rsidRPr="0067066A">
        <w:t xml:space="preserve">entro de </w:t>
      </w:r>
      <w:r>
        <w:t>S</w:t>
      </w:r>
      <w:r w:rsidRPr="0067066A">
        <w:t xml:space="preserve">alud o al teléfono habilitado </w:t>
      </w:r>
      <w:r w:rsidRPr="002C2CDA">
        <w:rPr>
          <w:b/>
          <w:bCs/>
        </w:rPr>
        <w:t>900.400.061</w:t>
      </w:r>
      <w:r w:rsidRPr="0067066A">
        <w:t xml:space="preserve"> y seguir sus indicaciones.</w:t>
      </w:r>
    </w:p>
    <w:p w:rsidR="00D36D21" w:rsidRDefault="00D36D21" w:rsidP="0072396C">
      <w:pPr>
        <w:pStyle w:val="ListParagraph"/>
        <w:numPr>
          <w:ilvl w:val="0"/>
          <w:numId w:val="1"/>
        </w:numPr>
        <w:spacing w:before="120" w:line="244" w:lineRule="auto"/>
        <w:ind w:left="396" w:right="173" w:hanging="425"/>
        <w:jc w:val="both"/>
      </w:pPr>
      <w:r w:rsidRPr="00D63F9C">
        <w:t xml:space="preserve">Los </w:t>
      </w:r>
      <w:r>
        <w:t>participantes</w:t>
      </w:r>
      <w:r w:rsidRPr="00D63F9C">
        <w:t xml:space="preserve">, personal del tribunal, asesores o personal de apoyo que sean personas </w:t>
      </w:r>
      <w:r w:rsidRPr="00D63F9C">
        <w:rPr>
          <w:b/>
          <w:bCs/>
        </w:rPr>
        <w:t>especialmente vulnerables frente a COVID-19</w:t>
      </w:r>
      <w:r w:rsidRPr="00D63F9C">
        <w:t>, según protocolos definidos por el Ministerio de Sanidad (personas con enfermedad cardiovascular, incluida hipertensión, enfermedad pulmonar crónica, diabetes, insuficiencia renal crónica, inmunodepresión, cáncer en fase de tratamiento activo, enfermedad hepática crónica severa, obesidad mórbida (IMC&gt;40), embarazo y mayores de 60 años)</w:t>
      </w:r>
      <w:r>
        <w:t xml:space="preserve"> </w:t>
      </w:r>
      <w:r w:rsidRPr="0072396C">
        <w:rPr>
          <w:rFonts w:ascii="CIDFont+F3" w:hAnsi="CIDFont+F3" w:cs="CIDFont+F3"/>
          <w:sz w:val="18"/>
          <w:szCs w:val="18"/>
          <w:lang w:eastAsia="en-US"/>
        </w:rPr>
        <w:t xml:space="preserve"> </w:t>
      </w:r>
      <w:r w:rsidRPr="0072396C">
        <w:t>podrá acudir a</w:t>
      </w:r>
      <w:r>
        <w:t xml:space="preserve"> la prueba</w:t>
      </w:r>
      <w:r w:rsidRPr="0072396C">
        <w:t xml:space="preserve">, siempre que su </w:t>
      </w:r>
      <w:r>
        <w:t xml:space="preserve">médico de cabecera emita informe indicando que su </w:t>
      </w:r>
      <w:r w:rsidRPr="0072396C">
        <w:rPr>
          <w:b/>
          <w:bCs/>
        </w:rPr>
        <w:t>condición clínica está controlada</w:t>
      </w:r>
      <w:r w:rsidRPr="0072396C">
        <w:t xml:space="preserve"> </w:t>
      </w:r>
      <w:r>
        <w:t xml:space="preserve">y vea conveniente la participación en la prueba, </w:t>
      </w:r>
      <w:r w:rsidRPr="0072396C">
        <w:t>manteniendo medidas de protección de forma rigurosa</w:t>
      </w:r>
      <w:r>
        <w:t>.</w:t>
      </w:r>
    </w:p>
    <w:p w:rsidR="00D36D21" w:rsidRPr="002C2CDA" w:rsidRDefault="00D36D21" w:rsidP="00D63F9C">
      <w:pPr>
        <w:pStyle w:val="ListParagraph"/>
        <w:numPr>
          <w:ilvl w:val="0"/>
          <w:numId w:val="1"/>
        </w:numPr>
        <w:spacing w:before="120" w:line="244" w:lineRule="auto"/>
        <w:ind w:left="396" w:right="173" w:hanging="425"/>
        <w:jc w:val="both"/>
      </w:pPr>
      <w:r w:rsidRPr="00D63F9C">
        <w:t xml:space="preserve">Los participantes deberán asistir con su </w:t>
      </w:r>
      <w:r w:rsidRPr="00D63F9C">
        <w:rPr>
          <w:b/>
          <w:bCs/>
        </w:rPr>
        <w:t>propio bolígrafo de color azul</w:t>
      </w:r>
      <w:r w:rsidRPr="00D63F9C">
        <w:t xml:space="preserve"> y en las pruebas prácticas con sus </w:t>
      </w:r>
      <w:r w:rsidRPr="00D63F9C">
        <w:rPr>
          <w:b/>
          <w:bCs/>
        </w:rPr>
        <w:t>propias herramientas y utillaje.</w:t>
      </w:r>
      <w:r w:rsidRPr="002C2CDA">
        <w:rPr>
          <w:rFonts w:ascii="Calibri" w:hAnsi="Calibri" w:cs="Calibri"/>
          <w:w w:val="95"/>
        </w:rPr>
        <w:t xml:space="preserve"> </w:t>
      </w:r>
      <w:r w:rsidRPr="002C2CDA">
        <w:t>No se podrá compartir material (bolígrafos, etc.…), por lo que el opositor debe asegurarse de llevar todo lo necesario para la realización de las pruebas</w:t>
      </w:r>
      <w:r>
        <w:t>.</w:t>
      </w:r>
    </w:p>
    <w:p w:rsidR="00D36D21" w:rsidRPr="002C2CDA" w:rsidRDefault="00D36D21" w:rsidP="002C2CDA">
      <w:pPr>
        <w:pStyle w:val="ListParagraph"/>
        <w:numPr>
          <w:ilvl w:val="0"/>
          <w:numId w:val="1"/>
        </w:numPr>
        <w:spacing w:before="120" w:line="244" w:lineRule="auto"/>
        <w:ind w:left="396" w:right="173" w:hanging="425"/>
        <w:jc w:val="both"/>
      </w:pPr>
      <w:r w:rsidRPr="002C2CDA">
        <w:t xml:space="preserve">Los </w:t>
      </w:r>
      <w:r w:rsidRPr="0072396C">
        <w:rPr>
          <w:b/>
          <w:bCs/>
        </w:rPr>
        <w:t>objetos personales</w:t>
      </w:r>
      <w:r w:rsidRPr="002C2CDA">
        <w:t xml:space="preserve"> de cada opositor deberán ser los </w:t>
      </w:r>
      <w:r w:rsidRPr="0072396C">
        <w:rPr>
          <w:b/>
          <w:bCs/>
        </w:rPr>
        <w:t>mínimos imprescindibles</w:t>
      </w:r>
      <w:r w:rsidRPr="002C2CDA">
        <w:t xml:space="preserve"> y, una vez situados en el sitio de examen, deberán permanecer en todo momento en el suelo en lugar visible junto al examinado y bajo su custodia.</w:t>
      </w:r>
    </w:p>
    <w:p w:rsidR="00D36D21" w:rsidRDefault="00D36D21" w:rsidP="00BC4C64">
      <w:pPr>
        <w:pStyle w:val="ListParagraph"/>
        <w:numPr>
          <w:ilvl w:val="0"/>
          <w:numId w:val="1"/>
        </w:numPr>
        <w:spacing w:before="120" w:line="244" w:lineRule="auto"/>
        <w:ind w:left="396" w:right="173" w:hanging="425"/>
        <w:jc w:val="both"/>
      </w:pPr>
      <w:r w:rsidRPr="00BC4C64">
        <w:t xml:space="preserve">Una vez </w:t>
      </w:r>
      <w:r w:rsidRPr="00BC4C64">
        <w:rPr>
          <w:b/>
          <w:bCs/>
        </w:rPr>
        <w:t>terminado el ejercicio</w:t>
      </w:r>
      <w:r w:rsidRPr="00BC4C64">
        <w:t xml:space="preserve">, el opositor dejará su ejercicio a la vista, encima de la mesa y </w:t>
      </w:r>
      <w:r>
        <w:t>no</w:t>
      </w:r>
      <w:r w:rsidRPr="00BC4C64">
        <w:t xml:space="preserve"> </w:t>
      </w:r>
      <w:r>
        <w:t>podrá</w:t>
      </w:r>
      <w:r w:rsidRPr="00BC4C64">
        <w:t xml:space="preserve"> </w:t>
      </w:r>
      <w:r>
        <w:t>abandonar</w:t>
      </w:r>
      <w:r w:rsidRPr="00BC4C64">
        <w:t xml:space="preserve"> </w:t>
      </w:r>
      <w:r>
        <w:t>el</w:t>
      </w:r>
      <w:r w:rsidRPr="00BC4C64">
        <w:t xml:space="preserve"> </w:t>
      </w:r>
      <w:r>
        <w:t>recinto</w:t>
      </w:r>
      <w:r w:rsidRPr="00BC4C64">
        <w:t xml:space="preserve"> </w:t>
      </w:r>
      <w:r>
        <w:t>hasta</w:t>
      </w:r>
      <w:r w:rsidRPr="00BC4C64">
        <w:t xml:space="preserve"> </w:t>
      </w:r>
      <w:r>
        <w:t>que</w:t>
      </w:r>
      <w:r w:rsidRPr="00BC4C64">
        <w:t xml:space="preserve"> </w:t>
      </w:r>
      <w:r>
        <w:t>no</w:t>
      </w:r>
      <w:r w:rsidRPr="00BC4C64">
        <w:t xml:space="preserve"> </w:t>
      </w:r>
      <w:r>
        <w:t>se</w:t>
      </w:r>
      <w:r w:rsidRPr="00BC4C64">
        <w:t xml:space="preserve"> </w:t>
      </w:r>
      <w:r>
        <w:t>le</w:t>
      </w:r>
      <w:r w:rsidRPr="00BC4C64">
        <w:t xml:space="preserve"> </w:t>
      </w:r>
      <w:r>
        <w:t>haya</w:t>
      </w:r>
      <w:r w:rsidRPr="00BC4C64">
        <w:t xml:space="preserve"> </w:t>
      </w:r>
      <w:r>
        <w:t>retirado e indicado por el personal organizador. Tras indicarle su salida, el particpante no po</w:t>
      </w:r>
      <w:bookmarkStart w:id="0" w:name="_GoBack"/>
      <w:bookmarkEnd w:id="0"/>
      <w:r>
        <w:t>drá permanecer en las inmediaciones de la salida y accesos al recinto.</w:t>
      </w:r>
    </w:p>
    <w:p w:rsidR="00D36D21" w:rsidRPr="00D63F9C" w:rsidRDefault="00D36D21" w:rsidP="0072396C">
      <w:pPr>
        <w:spacing w:before="120" w:line="244" w:lineRule="auto"/>
        <w:ind w:right="173"/>
        <w:jc w:val="both"/>
      </w:pPr>
    </w:p>
    <w:p w:rsidR="00D36D21" w:rsidRDefault="00D36D21" w:rsidP="00D63F9C">
      <w:pPr>
        <w:spacing w:before="120" w:line="244" w:lineRule="auto"/>
        <w:ind w:right="173" w:firstLine="268"/>
        <w:jc w:val="both"/>
      </w:pPr>
      <w:r w:rsidRPr="000374B7">
        <w:t>El presente protocolo se realiza en base al conocimiento científico actual en relación con el agente en cuestión (SARS-CoV-2) y las medidas de protección y prevención publicadas por las Autoridades Sanitarias. Estas recomendaciones están en continuo cambio y actualización por lo que, más allá de lo establecido en el presente informe, si éste se consulta en fecha posterior a su elaboración, se deberá contrastar con las recomendaciones actualizadas y normativa vigente.</w:t>
      </w:r>
    </w:p>
    <w:p w:rsidR="00D36D21" w:rsidRPr="000374B7" w:rsidRDefault="00D36D21" w:rsidP="00D63F9C">
      <w:pPr>
        <w:spacing w:before="120" w:line="244" w:lineRule="auto"/>
        <w:ind w:right="173" w:firstLine="268"/>
        <w:jc w:val="both"/>
      </w:pPr>
      <w:r w:rsidRPr="000374B7">
        <w:t>Es cuanto se tiene a bien informar para su conocimiento y efectos oportunos, advirtiendo que la opinión recogida en el presente Informe se somete a cualquier otra mejor fundada en Derecho</w:t>
      </w:r>
      <w:r>
        <w:t>.</w:t>
      </w:r>
    </w:p>
    <w:p w:rsidR="00D36D21" w:rsidRPr="00AF1906" w:rsidRDefault="00D36D21" w:rsidP="00D63F9C">
      <w:pPr>
        <w:pStyle w:val="ListParagraph"/>
        <w:spacing w:before="120" w:line="244" w:lineRule="auto"/>
        <w:ind w:left="396" w:right="173"/>
        <w:jc w:val="both"/>
      </w:pPr>
    </w:p>
    <w:p w:rsidR="00D36D21" w:rsidRDefault="00D36D21" w:rsidP="00AF1906">
      <w:pPr>
        <w:pStyle w:val="ListParagraph"/>
        <w:spacing w:before="120" w:line="244" w:lineRule="auto"/>
        <w:ind w:left="396" w:right="173"/>
        <w:jc w:val="both"/>
      </w:pPr>
    </w:p>
    <w:p w:rsidR="00D36D21" w:rsidRDefault="00D36D21" w:rsidP="00AF1906">
      <w:pPr>
        <w:pStyle w:val="ListParagraph"/>
        <w:spacing w:before="120" w:line="244" w:lineRule="auto"/>
        <w:ind w:left="396" w:right="173"/>
        <w:jc w:val="both"/>
      </w:pPr>
    </w:p>
    <w:p w:rsidR="00D36D21" w:rsidRPr="00AF1906" w:rsidRDefault="00D36D21" w:rsidP="00AF1906">
      <w:pPr>
        <w:pStyle w:val="ListParagraph"/>
        <w:spacing w:before="120" w:line="244" w:lineRule="auto"/>
        <w:ind w:left="396"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Default="00D36D21" w:rsidP="00B60D27">
      <w:pPr>
        <w:spacing w:before="120" w:line="244" w:lineRule="auto"/>
        <w:ind w:right="173"/>
        <w:jc w:val="both"/>
      </w:pPr>
    </w:p>
    <w:p w:rsidR="00D36D21" w:rsidRPr="00E5288C" w:rsidRDefault="00D36D21" w:rsidP="00B60D27">
      <w:pPr>
        <w:spacing w:before="120" w:line="244" w:lineRule="auto"/>
        <w:ind w:right="173"/>
        <w:jc w:val="both"/>
      </w:pPr>
    </w:p>
    <w:p w:rsidR="00D36D21" w:rsidRDefault="00D36D21">
      <w:pPr>
        <w:pStyle w:val="Heading1"/>
        <w:rPr>
          <w:sz w:val="22"/>
          <w:szCs w:val="22"/>
        </w:rPr>
      </w:pPr>
    </w:p>
    <w:p w:rsidR="00D36D21" w:rsidRPr="00CD223E" w:rsidRDefault="00D36D21">
      <w:pPr>
        <w:pStyle w:val="Heading1"/>
        <w:rPr>
          <w:sz w:val="22"/>
          <w:szCs w:val="22"/>
        </w:rPr>
      </w:pPr>
      <w:r w:rsidRPr="00CD223E">
        <w:rPr>
          <w:sz w:val="22"/>
          <w:szCs w:val="22"/>
        </w:rPr>
        <w:t>DOCUMENTO FIRMADO ELECTRÓNICAMENTE AL MARGEN</w:t>
      </w:r>
    </w:p>
    <w:p w:rsidR="00D36D21" w:rsidRPr="00CD223E" w:rsidRDefault="00D36D21">
      <w:pPr>
        <w:pStyle w:val="BodyText"/>
        <w:spacing w:before="4"/>
        <w:rPr>
          <w:b/>
          <w:szCs w:val="22"/>
        </w:rPr>
      </w:pPr>
      <w:r>
        <w:rPr>
          <w:noProof/>
        </w:rPr>
        <w:pict>
          <v:line id="Line 2" o:spid="_x0000_s1027" style="position:absolute;z-index:-251658240;visibility:visible;mso-wrap-distance-left:0;mso-wrap-distance-top:-3e-5mm;mso-wrap-distance-right:0;mso-wrap-distance-bottom:-3e-5mm;mso-position-horizontal-relative:page" from="83.65pt,17.4pt" to="511.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ncHQIAAEE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" strokeweight=".48pt">
            <w10:wrap type="topAndBottom" anchorx="page"/>
          </v:line>
        </w:pict>
      </w:r>
    </w:p>
    <w:p w:rsidR="00D36D21" w:rsidRPr="00CD223E" w:rsidRDefault="00D36D21">
      <w:pPr>
        <w:spacing w:before="68"/>
        <w:ind w:left="273" w:right="267"/>
        <w:jc w:val="center"/>
        <w:rPr>
          <w:b/>
          <w:szCs w:val="20"/>
        </w:rPr>
      </w:pPr>
      <w:r>
        <w:rPr>
          <w:b/>
          <w:szCs w:val="20"/>
        </w:rPr>
        <w:t xml:space="preserve">Excmo. </w:t>
      </w:r>
      <w:r w:rsidRPr="00CD223E">
        <w:rPr>
          <w:b/>
          <w:szCs w:val="20"/>
        </w:rPr>
        <w:t>Ayuntamiento de Ronda</w:t>
      </w:r>
    </w:p>
    <w:p w:rsidR="00D36D21" w:rsidRPr="00CD223E" w:rsidRDefault="00D36D21">
      <w:pPr>
        <w:spacing w:before="118"/>
        <w:ind w:left="272" w:right="267"/>
        <w:jc w:val="center"/>
        <w:rPr>
          <w:sz w:val="14"/>
          <w:szCs w:val="20"/>
        </w:rPr>
      </w:pPr>
      <w:r w:rsidRPr="00CD223E">
        <w:rPr>
          <w:sz w:val="14"/>
          <w:szCs w:val="20"/>
        </w:rPr>
        <w:t>Plaza Duquesa de Parcent, 3, Ronda. 29400 (Málaga). Tfno. 952873240. Fax: 952879925</w:t>
      </w:r>
    </w:p>
    <w:sectPr w:rsidR="00D36D21" w:rsidRPr="00CD223E" w:rsidSect="00844A65">
      <w:headerReference w:type="default" r:id="rId8"/>
      <w:footerReference w:type="default" r:id="rId9"/>
      <w:type w:val="continuous"/>
      <w:pgSz w:w="11900" w:h="16840"/>
      <w:pgMar w:top="2260" w:right="126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21" w:rsidRDefault="00D36D21" w:rsidP="004A045C">
      <w:r>
        <w:separator/>
      </w:r>
    </w:p>
  </w:endnote>
  <w:endnote w:type="continuationSeparator" w:id="0">
    <w:p w:rsidR="00D36D21" w:rsidRDefault="00D36D21" w:rsidP="004A04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21" w:rsidRDefault="00D36D21">
    <w:pPr>
      <w:pStyle w:val="Footer"/>
    </w:pPr>
  </w:p>
  <w:p w:rsidR="00D36D21" w:rsidRDefault="00D36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21" w:rsidRDefault="00D36D21" w:rsidP="004A045C">
      <w:r>
        <w:separator/>
      </w:r>
    </w:p>
  </w:footnote>
  <w:footnote w:type="continuationSeparator" w:id="0">
    <w:p w:rsidR="00D36D21" w:rsidRDefault="00D36D21" w:rsidP="004A0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21" w:rsidRDefault="00D36D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51.55pt;margin-top:-19.35pt;width:41.35pt;height:54.7pt;z-index:251660288;visibility:visible">
          <v:imagedata r:id="rId1" o:title=""/>
          <w10:wrap type="square"/>
        </v:shape>
      </w:pict>
    </w:r>
  </w:p>
  <w:p w:rsidR="00D36D21" w:rsidRDefault="00D36D21">
    <w:pPr>
      <w:pStyle w:val="Header"/>
    </w:pPr>
  </w:p>
  <w:p w:rsidR="00D36D21" w:rsidRDefault="00D36D21">
    <w:pPr>
      <w:pStyle w:val="Header"/>
    </w:pPr>
  </w:p>
  <w:p w:rsidR="00D36D21" w:rsidRPr="004A045C" w:rsidRDefault="00D36D21">
    <w:pPr>
      <w:pStyle w:val="Header"/>
      <w:rPr>
        <w:b/>
      </w:rPr>
    </w:pPr>
    <w:r w:rsidRPr="004A045C">
      <w:rPr>
        <w:b/>
      </w:rPr>
      <w:t>Excmo. Ayuntamiento de Ronda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2EF6"/>
    <w:multiLevelType w:val="hybridMultilevel"/>
    <w:tmpl w:val="C3CC103A"/>
    <w:lvl w:ilvl="0" w:tplc="D804BAAE">
      <w:numFmt w:val="bullet"/>
      <w:lvlText w:val="o"/>
      <w:lvlJc w:val="left"/>
      <w:pPr>
        <w:ind w:left="679" w:hanging="284"/>
      </w:pPr>
      <w:rPr>
        <w:rFonts w:ascii="Courier New" w:eastAsia="Times New Roman" w:hAnsi="Courier New" w:hint="default"/>
        <w:w w:val="99"/>
        <w:sz w:val="20"/>
      </w:rPr>
    </w:lvl>
    <w:lvl w:ilvl="1" w:tplc="23549E92">
      <w:numFmt w:val="bullet"/>
      <w:lvlText w:val="•"/>
      <w:lvlJc w:val="left"/>
      <w:pPr>
        <w:ind w:left="1666" w:hanging="284"/>
      </w:pPr>
      <w:rPr>
        <w:rFonts w:hint="default"/>
      </w:rPr>
    </w:lvl>
    <w:lvl w:ilvl="2" w:tplc="DF742894">
      <w:numFmt w:val="bullet"/>
      <w:lvlText w:val="•"/>
      <w:lvlJc w:val="left"/>
      <w:pPr>
        <w:ind w:left="2653" w:hanging="284"/>
      </w:pPr>
      <w:rPr>
        <w:rFonts w:hint="default"/>
      </w:rPr>
    </w:lvl>
    <w:lvl w:ilvl="3" w:tplc="260CDFA0">
      <w:numFmt w:val="bullet"/>
      <w:lvlText w:val="•"/>
      <w:lvlJc w:val="left"/>
      <w:pPr>
        <w:ind w:left="3639" w:hanging="284"/>
      </w:pPr>
      <w:rPr>
        <w:rFonts w:hint="default"/>
      </w:rPr>
    </w:lvl>
    <w:lvl w:ilvl="4" w:tplc="BC209A8A">
      <w:numFmt w:val="bullet"/>
      <w:lvlText w:val="•"/>
      <w:lvlJc w:val="left"/>
      <w:pPr>
        <w:ind w:left="4626" w:hanging="284"/>
      </w:pPr>
      <w:rPr>
        <w:rFonts w:hint="default"/>
      </w:rPr>
    </w:lvl>
    <w:lvl w:ilvl="5" w:tplc="246CCF18">
      <w:numFmt w:val="bullet"/>
      <w:lvlText w:val="•"/>
      <w:lvlJc w:val="left"/>
      <w:pPr>
        <w:ind w:left="5612" w:hanging="284"/>
      </w:pPr>
      <w:rPr>
        <w:rFonts w:hint="default"/>
      </w:rPr>
    </w:lvl>
    <w:lvl w:ilvl="6" w:tplc="8BB65BE6">
      <w:numFmt w:val="bullet"/>
      <w:lvlText w:val="•"/>
      <w:lvlJc w:val="left"/>
      <w:pPr>
        <w:ind w:left="6599" w:hanging="284"/>
      </w:pPr>
      <w:rPr>
        <w:rFonts w:hint="default"/>
      </w:rPr>
    </w:lvl>
    <w:lvl w:ilvl="7" w:tplc="1C36C80E">
      <w:numFmt w:val="bullet"/>
      <w:lvlText w:val="•"/>
      <w:lvlJc w:val="left"/>
      <w:pPr>
        <w:ind w:left="7585" w:hanging="284"/>
      </w:pPr>
      <w:rPr>
        <w:rFonts w:hint="default"/>
      </w:rPr>
    </w:lvl>
    <w:lvl w:ilvl="8" w:tplc="702824CE">
      <w:numFmt w:val="bullet"/>
      <w:lvlText w:val="•"/>
      <w:lvlJc w:val="left"/>
      <w:pPr>
        <w:ind w:left="8572" w:hanging="284"/>
      </w:pPr>
      <w:rPr>
        <w:rFonts w:hint="default"/>
      </w:rPr>
    </w:lvl>
  </w:abstractNum>
  <w:abstractNum w:abstractNumId="1">
    <w:nsid w:val="3A2A1894"/>
    <w:multiLevelType w:val="hybridMultilevel"/>
    <w:tmpl w:val="5C3E4318"/>
    <w:lvl w:ilvl="0" w:tplc="81CCF034">
      <w:numFmt w:val="bullet"/>
      <w:lvlText w:val=""/>
      <w:lvlJc w:val="left"/>
      <w:pPr>
        <w:ind w:left="396" w:hanging="284"/>
      </w:pPr>
      <w:rPr>
        <w:rFonts w:ascii="Symbol" w:eastAsia="Times New Roman" w:hAnsi="Symbol" w:hint="default"/>
        <w:w w:val="99"/>
        <w:sz w:val="20"/>
      </w:rPr>
    </w:lvl>
    <w:lvl w:ilvl="1" w:tplc="89D2D602">
      <w:numFmt w:val="bullet"/>
      <w:lvlText w:val="o"/>
      <w:lvlJc w:val="left"/>
      <w:pPr>
        <w:ind w:left="679" w:hanging="284"/>
      </w:pPr>
      <w:rPr>
        <w:rFonts w:ascii="Courier New" w:eastAsia="Times New Roman" w:hAnsi="Courier New" w:hint="default"/>
        <w:w w:val="99"/>
        <w:sz w:val="20"/>
      </w:rPr>
    </w:lvl>
    <w:lvl w:ilvl="2" w:tplc="89F4C3A8">
      <w:numFmt w:val="bullet"/>
      <w:lvlText w:val=""/>
      <w:lvlJc w:val="left"/>
      <w:pPr>
        <w:ind w:left="1106" w:hanging="360"/>
      </w:pPr>
      <w:rPr>
        <w:rFonts w:ascii="Wingdings" w:eastAsia="Times New Roman" w:hAnsi="Wingdings" w:hint="default"/>
        <w:w w:val="99"/>
        <w:sz w:val="20"/>
      </w:rPr>
    </w:lvl>
    <w:lvl w:ilvl="3" w:tplc="B9D0F9C8">
      <w:numFmt w:val="bullet"/>
      <w:lvlText w:val="•"/>
      <w:lvlJc w:val="left"/>
      <w:pPr>
        <w:ind w:left="1100" w:hanging="360"/>
      </w:pPr>
      <w:rPr>
        <w:rFonts w:hint="default"/>
      </w:rPr>
    </w:lvl>
    <w:lvl w:ilvl="4" w:tplc="1BF26C0A">
      <w:numFmt w:val="bullet"/>
      <w:lvlText w:val="•"/>
      <w:lvlJc w:val="left"/>
      <w:pPr>
        <w:ind w:left="2449" w:hanging="360"/>
      </w:pPr>
      <w:rPr>
        <w:rFonts w:hint="default"/>
      </w:rPr>
    </w:lvl>
    <w:lvl w:ilvl="5" w:tplc="3D88D546">
      <w:numFmt w:val="bullet"/>
      <w:lvlText w:val="•"/>
      <w:lvlJc w:val="left"/>
      <w:pPr>
        <w:ind w:left="3798" w:hanging="360"/>
      </w:pPr>
      <w:rPr>
        <w:rFonts w:hint="default"/>
      </w:rPr>
    </w:lvl>
    <w:lvl w:ilvl="6" w:tplc="6DD61358">
      <w:numFmt w:val="bullet"/>
      <w:lvlText w:val="•"/>
      <w:lvlJc w:val="left"/>
      <w:pPr>
        <w:ind w:left="5148" w:hanging="360"/>
      </w:pPr>
      <w:rPr>
        <w:rFonts w:hint="default"/>
      </w:rPr>
    </w:lvl>
    <w:lvl w:ilvl="7" w:tplc="99BA21F0">
      <w:numFmt w:val="bullet"/>
      <w:lvlText w:val="•"/>
      <w:lvlJc w:val="left"/>
      <w:pPr>
        <w:ind w:left="6497" w:hanging="360"/>
      </w:pPr>
      <w:rPr>
        <w:rFonts w:hint="default"/>
      </w:rPr>
    </w:lvl>
    <w:lvl w:ilvl="8" w:tplc="5776BD80">
      <w:numFmt w:val="bullet"/>
      <w:lvlText w:val="•"/>
      <w:lvlJc w:val="left"/>
      <w:pPr>
        <w:ind w:left="7846" w:hanging="360"/>
      </w:pPr>
      <w:rPr>
        <w:rFonts w:hint="default"/>
      </w:rPr>
    </w:lvl>
  </w:abstractNum>
  <w:abstractNum w:abstractNumId="2">
    <w:nsid w:val="54E51FFF"/>
    <w:multiLevelType w:val="multilevel"/>
    <w:tmpl w:val="410CBCF8"/>
    <w:lvl w:ilvl="0">
      <w:start w:val="1"/>
      <w:numFmt w:val="decimal"/>
      <w:lvlText w:val="%1."/>
      <w:lvlJc w:val="left"/>
      <w:pPr>
        <w:ind w:left="2679" w:hanging="213"/>
      </w:pPr>
      <w:rPr>
        <w:rFonts w:ascii="Calibri" w:eastAsia="Times New Roman" w:hAnsi="Calibri" w:cs="Calibri" w:hint="default"/>
        <w:b/>
        <w:bCs/>
        <w:spacing w:val="-1"/>
        <w:w w:val="93"/>
        <w:sz w:val="22"/>
        <w:szCs w:val="22"/>
      </w:rPr>
    </w:lvl>
    <w:lvl w:ilvl="1">
      <w:start w:val="1"/>
      <w:numFmt w:val="decimal"/>
      <w:lvlText w:val="%1.%2."/>
      <w:lvlJc w:val="left"/>
      <w:pPr>
        <w:ind w:left="2467" w:hanging="382"/>
      </w:pPr>
      <w:rPr>
        <w:rFonts w:ascii="Calibri" w:eastAsia="Times New Roman" w:hAnsi="Calibri" w:cs="Calibri" w:hint="default"/>
        <w:spacing w:val="-1"/>
        <w:w w:val="95"/>
        <w:sz w:val="22"/>
        <w:szCs w:val="22"/>
      </w:rPr>
    </w:lvl>
    <w:lvl w:ilvl="2">
      <w:numFmt w:val="bullet"/>
      <w:lvlText w:val="•"/>
      <w:lvlJc w:val="left"/>
      <w:pPr>
        <w:ind w:left="3704" w:hanging="382"/>
      </w:pPr>
      <w:rPr>
        <w:rFonts w:hint="default"/>
      </w:rPr>
    </w:lvl>
    <w:lvl w:ilvl="3">
      <w:numFmt w:val="bullet"/>
      <w:lvlText w:val="•"/>
      <w:lvlJc w:val="left"/>
      <w:pPr>
        <w:ind w:left="4728" w:hanging="382"/>
      </w:pPr>
      <w:rPr>
        <w:rFonts w:hint="default"/>
      </w:rPr>
    </w:lvl>
    <w:lvl w:ilvl="4">
      <w:numFmt w:val="bullet"/>
      <w:lvlText w:val="•"/>
      <w:lvlJc w:val="left"/>
      <w:pPr>
        <w:ind w:left="5753" w:hanging="382"/>
      </w:pPr>
      <w:rPr>
        <w:rFonts w:hint="default"/>
      </w:rPr>
    </w:lvl>
    <w:lvl w:ilvl="5">
      <w:numFmt w:val="bullet"/>
      <w:lvlText w:val="•"/>
      <w:lvlJc w:val="left"/>
      <w:pPr>
        <w:ind w:left="6777" w:hanging="382"/>
      </w:pPr>
      <w:rPr>
        <w:rFonts w:hint="default"/>
      </w:rPr>
    </w:lvl>
    <w:lvl w:ilvl="6">
      <w:numFmt w:val="bullet"/>
      <w:lvlText w:val="•"/>
      <w:lvlJc w:val="left"/>
      <w:pPr>
        <w:ind w:left="7802" w:hanging="382"/>
      </w:pPr>
      <w:rPr>
        <w:rFonts w:hint="default"/>
      </w:rPr>
    </w:lvl>
    <w:lvl w:ilvl="7">
      <w:numFmt w:val="bullet"/>
      <w:lvlText w:val="•"/>
      <w:lvlJc w:val="left"/>
      <w:pPr>
        <w:ind w:left="8826" w:hanging="382"/>
      </w:pPr>
      <w:rPr>
        <w:rFonts w:hint="default"/>
      </w:rPr>
    </w:lvl>
    <w:lvl w:ilvl="8">
      <w:numFmt w:val="bullet"/>
      <w:lvlText w:val="•"/>
      <w:lvlJc w:val="left"/>
      <w:pPr>
        <w:ind w:left="9851" w:hanging="382"/>
      </w:pPr>
      <w:rPr>
        <w:rFonts w:hint="default"/>
      </w:rPr>
    </w:lvl>
  </w:abstractNum>
  <w:abstractNum w:abstractNumId="3">
    <w:nsid w:val="61E56CE6"/>
    <w:multiLevelType w:val="hybridMultilevel"/>
    <w:tmpl w:val="522844E6"/>
    <w:lvl w:ilvl="0" w:tplc="75B8A444">
      <w:numFmt w:val="bullet"/>
      <w:lvlText w:val="-"/>
      <w:lvlJc w:val="left"/>
      <w:pPr>
        <w:ind w:left="1229" w:hanging="360"/>
      </w:pPr>
      <w:rPr>
        <w:rFonts w:ascii="Times New Roman" w:eastAsia="Times New Roman" w:hAnsi="Times New Roman" w:hint="default"/>
      </w:rPr>
    </w:lvl>
    <w:lvl w:ilvl="1" w:tplc="0C0A0003">
      <w:start w:val="1"/>
      <w:numFmt w:val="bullet"/>
      <w:lvlText w:val="o"/>
      <w:lvlJc w:val="left"/>
      <w:pPr>
        <w:ind w:left="1949" w:hanging="360"/>
      </w:pPr>
      <w:rPr>
        <w:rFonts w:ascii="Courier New" w:hAnsi="Courier New" w:hint="default"/>
      </w:rPr>
    </w:lvl>
    <w:lvl w:ilvl="2" w:tplc="0C0A0005" w:tentative="1">
      <w:start w:val="1"/>
      <w:numFmt w:val="bullet"/>
      <w:lvlText w:val=""/>
      <w:lvlJc w:val="left"/>
      <w:pPr>
        <w:ind w:left="2669" w:hanging="360"/>
      </w:pPr>
      <w:rPr>
        <w:rFonts w:ascii="Wingdings" w:hAnsi="Wingdings" w:hint="default"/>
      </w:rPr>
    </w:lvl>
    <w:lvl w:ilvl="3" w:tplc="0C0A0001" w:tentative="1">
      <w:start w:val="1"/>
      <w:numFmt w:val="bullet"/>
      <w:lvlText w:val=""/>
      <w:lvlJc w:val="left"/>
      <w:pPr>
        <w:ind w:left="3389" w:hanging="360"/>
      </w:pPr>
      <w:rPr>
        <w:rFonts w:ascii="Symbol" w:hAnsi="Symbol" w:hint="default"/>
      </w:rPr>
    </w:lvl>
    <w:lvl w:ilvl="4" w:tplc="0C0A0003" w:tentative="1">
      <w:start w:val="1"/>
      <w:numFmt w:val="bullet"/>
      <w:lvlText w:val="o"/>
      <w:lvlJc w:val="left"/>
      <w:pPr>
        <w:ind w:left="4109" w:hanging="360"/>
      </w:pPr>
      <w:rPr>
        <w:rFonts w:ascii="Courier New" w:hAnsi="Courier New" w:hint="default"/>
      </w:rPr>
    </w:lvl>
    <w:lvl w:ilvl="5" w:tplc="0C0A0005" w:tentative="1">
      <w:start w:val="1"/>
      <w:numFmt w:val="bullet"/>
      <w:lvlText w:val=""/>
      <w:lvlJc w:val="left"/>
      <w:pPr>
        <w:ind w:left="4829" w:hanging="360"/>
      </w:pPr>
      <w:rPr>
        <w:rFonts w:ascii="Wingdings" w:hAnsi="Wingdings" w:hint="default"/>
      </w:rPr>
    </w:lvl>
    <w:lvl w:ilvl="6" w:tplc="0C0A0001" w:tentative="1">
      <w:start w:val="1"/>
      <w:numFmt w:val="bullet"/>
      <w:lvlText w:val=""/>
      <w:lvlJc w:val="left"/>
      <w:pPr>
        <w:ind w:left="5549" w:hanging="360"/>
      </w:pPr>
      <w:rPr>
        <w:rFonts w:ascii="Symbol" w:hAnsi="Symbol" w:hint="default"/>
      </w:rPr>
    </w:lvl>
    <w:lvl w:ilvl="7" w:tplc="0C0A0003" w:tentative="1">
      <w:start w:val="1"/>
      <w:numFmt w:val="bullet"/>
      <w:lvlText w:val="o"/>
      <w:lvlJc w:val="left"/>
      <w:pPr>
        <w:ind w:left="6269" w:hanging="360"/>
      </w:pPr>
      <w:rPr>
        <w:rFonts w:ascii="Courier New" w:hAnsi="Courier New" w:hint="default"/>
      </w:rPr>
    </w:lvl>
    <w:lvl w:ilvl="8" w:tplc="0C0A0005" w:tentative="1">
      <w:start w:val="1"/>
      <w:numFmt w:val="bullet"/>
      <w:lvlText w:val=""/>
      <w:lvlJc w:val="left"/>
      <w:pPr>
        <w:ind w:left="6989" w:hanging="360"/>
      </w:pPr>
      <w:rPr>
        <w:rFonts w:ascii="Wingdings" w:hAnsi="Wingdings" w:hint="default"/>
      </w:rPr>
    </w:lvl>
  </w:abstractNum>
  <w:abstractNum w:abstractNumId="4">
    <w:nsid w:val="62884ED3"/>
    <w:multiLevelType w:val="hybridMultilevel"/>
    <w:tmpl w:val="81889E2A"/>
    <w:lvl w:ilvl="0" w:tplc="37E0FF6C">
      <w:numFmt w:val="bullet"/>
      <w:lvlText w:val=""/>
      <w:lvlJc w:val="left"/>
      <w:pPr>
        <w:ind w:left="821" w:hanging="360"/>
      </w:pPr>
      <w:rPr>
        <w:rFonts w:hint="default"/>
        <w:w w:val="100"/>
      </w:rPr>
    </w:lvl>
    <w:lvl w:ilvl="1" w:tplc="8F483386">
      <w:numFmt w:val="bullet"/>
      <w:lvlText w:val="o"/>
      <w:lvlJc w:val="left"/>
      <w:pPr>
        <w:ind w:left="1541" w:hanging="361"/>
      </w:pPr>
      <w:rPr>
        <w:rFonts w:ascii="Courier New" w:eastAsia="Times New Roman" w:hAnsi="Courier New" w:hint="default"/>
        <w:spacing w:val="-3"/>
        <w:w w:val="100"/>
        <w:sz w:val="20"/>
      </w:rPr>
    </w:lvl>
    <w:lvl w:ilvl="2" w:tplc="F26236A6">
      <w:numFmt w:val="bullet"/>
      <w:lvlText w:val="•"/>
      <w:lvlJc w:val="left"/>
      <w:pPr>
        <w:ind w:left="2336" w:hanging="361"/>
      </w:pPr>
      <w:rPr>
        <w:rFonts w:hint="default"/>
      </w:rPr>
    </w:lvl>
    <w:lvl w:ilvl="3" w:tplc="F51E0032">
      <w:numFmt w:val="bullet"/>
      <w:lvlText w:val="•"/>
      <w:lvlJc w:val="left"/>
      <w:pPr>
        <w:ind w:left="3132" w:hanging="361"/>
      </w:pPr>
      <w:rPr>
        <w:rFonts w:hint="default"/>
      </w:rPr>
    </w:lvl>
    <w:lvl w:ilvl="4" w:tplc="C9520A1E">
      <w:numFmt w:val="bullet"/>
      <w:lvlText w:val="•"/>
      <w:lvlJc w:val="left"/>
      <w:pPr>
        <w:ind w:left="3928" w:hanging="361"/>
      </w:pPr>
      <w:rPr>
        <w:rFonts w:hint="default"/>
      </w:rPr>
    </w:lvl>
    <w:lvl w:ilvl="5" w:tplc="81D6927E">
      <w:numFmt w:val="bullet"/>
      <w:lvlText w:val="•"/>
      <w:lvlJc w:val="left"/>
      <w:pPr>
        <w:ind w:left="4724" w:hanging="361"/>
      </w:pPr>
      <w:rPr>
        <w:rFonts w:hint="default"/>
      </w:rPr>
    </w:lvl>
    <w:lvl w:ilvl="6" w:tplc="6FA8E784">
      <w:numFmt w:val="bullet"/>
      <w:lvlText w:val="•"/>
      <w:lvlJc w:val="left"/>
      <w:pPr>
        <w:ind w:left="5520" w:hanging="361"/>
      </w:pPr>
      <w:rPr>
        <w:rFonts w:hint="default"/>
      </w:rPr>
    </w:lvl>
    <w:lvl w:ilvl="7" w:tplc="6EBC7C02">
      <w:numFmt w:val="bullet"/>
      <w:lvlText w:val="•"/>
      <w:lvlJc w:val="left"/>
      <w:pPr>
        <w:ind w:left="6316" w:hanging="361"/>
      </w:pPr>
      <w:rPr>
        <w:rFonts w:hint="default"/>
      </w:rPr>
    </w:lvl>
    <w:lvl w:ilvl="8" w:tplc="F306EB3A">
      <w:numFmt w:val="bullet"/>
      <w:lvlText w:val="•"/>
      <w:lvlJc w:val="left"/>
      <w:pPr>
        <w:ind w:left="7112" w:hanging="361"/>
      </w:pPr>
      <w:rPr>
        <w:rFonts w:hint="default"/>
      </w:rPr>
    </w:lvl>
  </w:abstractNum>
  <w:abstractNum w:abstractNumId="5">
    <w:nsid w:val="71325A0B"/>
    <w:multiLevelType w:val="hybridMultilevel"/>
    <w:tmpl w:val="A20634DE"/>
    <w:lvl w:ilvl="0" w:tplc="A4946D40">
      <w:numFmt w:val="bullet"/>
      <w:lvlText w:val="-"/>
      <w:lvlJc w:val="left"/>
      <w:pPr>
        <w:ind w:left="633" w:hanging="360"/>
      </w:pPr>
      <w:rPr>
        <w:rFonts w:ascii="Times New Roman" w:eastAsia="Times New Roman" w:hAnsi="Times New Roman" w:hint="default"/>
        <w:i w:val="0"/>
      </w:rPr>
    </w:lvl>
    <w:lvl w:ilvl="1" w:tplc="0C0A0003" w:tentative="1">
      <w:start w:val="1"/>
      <w:numFmt w:val="bullet"/>
      <w:lvlText w:val="o"/>
      <w:lvlJc w:val="left"/>
      <w:pPr>
        <w:ind w:left="1353" w:hanging="360"/>
      </w:pPr>
      <w:rPr>
        <w:rFonts w:ascii="Courier New" w:hAnsi="Courier New" w:hint="default"/>
      </w:rPr>
    </w:lvl>
    <w:lvl w:ilvl="2" w:tplc="0C0A0005" w:tentative="1">
      <w:start w:val="1"/>
      <w:numFmt w:val="bullet"/>
      <w:lvlText w:val=""/>
      <w:lvlJc w:val="left"/>
      <w:pPr>
        <w:ind w:left="2073" w:hanging="360"/>
      </w:pPr>
      <w:rPr>
        <w:rFonts w:ascii="Wingdings" w:hAnsi="Wingdings" w:hint="default"/>
      </w:rPr>
    </w:lvl>
    <w:lvl w:ilvl="3" w:tplc="0C0A0001" w:tentative="1">
      <w:start w:val="1"/>
      <w:numFmt w:val="bullet"/>
      <w:lvlText w:val=""/>
      <w:lvlJc w:val="left"/>
      <w:pPr>
        <w:ind w:left="2793" w:hanging="360"/>
      </w:pPr>
      <w:rPr>
        <w:rFonts w:ascii="Symbol" w:hAnsi="Symbol" w:hint="default"/>
      </w:rPr>
    </w:lvl>
    <w:lvl w:ilvl="4" w:tplc="0C0A0003" w:tentative="1">
      <w:start w:val="1"/>
      <w:numFmt w:val="bullet"/>
      <w:lvlText w:val="o"/>
      <w:lvlJc w:val="left"/>
      <w:pPr>
        <w:ind w:left="3513" w:hanging="360"/>
      </w:pPr>
      <w:rPr>
        <w:rFonts w:ascii="Courier New" w:hAnsi="Courier New" w:hint="default"/>
      </w:rPr>
    </w:lvl>
    <w:lvl w:ilvl="5" w:tplc="0C0A0005" w:tentative="1">
      <w:start w:val="1"/>
      <w:numFmt w:val="bullet"/>
      <w:lvlText w:val=""/>
      <w:lvlJc w:val="left"/>
      <w:pPr>
        <w:ind w:left="4233" w:hanging="360"/>
      </w:pPr>
      <w:rPr>
        <w:rFonts w:ascii="Wingdings" w:hAnsi="Wingdings" w:hint="default"/>
      </w:rPr>
    </w:lvl>
    <w:lvl w:ilvl="6" w:tplc="0C0A0001" w:tentative="1">
      <w:start w:val="1"/>
      <w:numFmt w:val="bullet"/>
      <w:lvlText w:val=""/>
      <w:lvlJc w:val="left"/>
      <w:pPr>
        <w:ind w:left="4953" w:hanging="360"/>
      </w:pPr>
      <w:rPr>
        <w:rFonts w:ascii="Symbol" w:hAnsi="Symbol" w:hint="default"/>
      </w:rPr>
    </w:lvl>
    <w:lvl w:ilvl="7" w:tplc="0C0A0003" w:tentative="1">
      <w:start w:val="1"/>
      <w:numFmt w:val="bullet"/>
      <w:lvlText w:val="o"/>
      <w:lvlJc w:val="left"/>
      <w:pPr>
        <w:ind w:left="5673" w:hanging="360"/>
      </w:pPr>
      <w:rPr>
        <w:rFonts w:ascii="Courier New" w:hAnsi="Courier New" w:hint="default"/>
      </w:rPr>
    </w:lvl>
    <w:lvl w:ilvl="8" w:tplc="0C0A0005" w:tentative="1">
      <w:start w:val="1"/>
      <w:numFmt w:val="bullet"/>
      <w:lvlText w:val=""/>
      <w:lvlJc w:val="left"/>
      <w:pPr>
        <w:ind w:left="6393"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E4C"/>
    <w:rsid w:val="00001018"/>
    <w:rsid w:val="000024F7"/>
    <w:rsid w:val="000374B7"/>
    <w:rsid w:val="00040084"/>
    <w:rsid w:val="00070420"/>
    <w:rsid w:val="000B49CB"/>
    <w:rsid w:val="000B6AEC"/>
    <w:rsid w:val="000C00D8"/>
    <w:rsid w:val="0010717E"/>
    <w:rsid w:val="0015639A"/>
    <w:rsid w:val="001751E8"/>
    <w:rsid w:val="001760EB"/>
    <w:rsid w:val="001A0873"/>
    <w:rsid w:val="001B1391"/>
    <w:rsid w:val="001F27A2"/>
    <w:rsid w:val="00205E4C"/>
    <w:rsid w:val="002307FB"/>
    <w:rsid w:val="002549CA"/>
    <w:rsid w:val="00276958"/>
    <w:rsid w:val="002C2CDA"/>
    <w:rsid w:val="002D71C1"/>
    <w:rsid w:val="00312453"/>
    <w:rsid w:val="00326E55"/>
    <w:rsid w:val="00346B96"/>
    <w:rsid w:val="003630EE"/>
    <w:rsid w:val="003871C6"/>
    <w:rsid w:val="003B4110"/>
    <w:rsid w:val="003B4C54"/>
    <w:rsid w:val="003D12A0"/>
    <w:rsid w:val="003D6EE1"/>
    <w:rsid w:val="003F7279"/>
    <w:rsid w:val="0047718D"/>
    <w:rsid w:val="004A045C"/>
    <w:rsid w:val="00510081"/>
    <w:rsid w:val="005154BA"/>
    <w:rsid w:val="0058537C"/>
    <w:rsid w:val="006272A2"/>
    <w:rsid w:val="0064320C"/>
    <w:rsid w:val="006469BE"/>
    <w:rsid w:val="00650FFC"/>
    <w:rsid w:val="0067066A"/>
    <w:rsid w:val="006E0D1D"/>
    <w:rsid w:val="006E0D66"/>
    <w:rsid w:val="006E2E30"/>
    <w:rsid w:val="006F3714"/>
    <w:rsid w:val="00701DD6"/>
    <w:rsid w:val="0072396C"/>
    <w:rsid w:val="007302BD"/>
    <w:rsid w:val="00787C59"/>
    <w:rsid w:val="007C5E69"/>
    <w:rsid w:val="00817E7D"/>
    <w:rsid w:val="00844A65"/>
    <w:rsid w:val="008549B4"/>
    <w:rsid w:val="008578B1"/>
    <w:rsid w:val="0086434A"/>
    <w:rsid w:val="0087165B"/>
    <w:rsid w:val="008B302D"/>
    <w:rsid w:val="008E52F0"/>
    <w:rsid w:val="00926D34"/>
    <w:rsid w:val="0092783C"/>
    <w:rsid w:val="00935517"/>
    <w:rsid w:val="009429B5"/>
    <w:rsid w:val="00987155"/>
    <w:rsid w:val="009875C4"/>
    <w:rsid w:val="009A6D31"/>
    <w:rsid w:val="009B3429"/>
    <w:rsid w:val="00A12FD6"/>
    <w:rsid w:val="00A30D8C"/>
    <w:rsid w:val="00A553E1"/>
    <w:rsid w:val="00A6235C"/>
    <w:rsid w:val="00A67F12"/>
    <w:rsid w:val="00A74807"/>
    <w:rsid w:val="00AE4F0C"/>
    <w:rsid w:val="00AF1906"/>
    <w:rsid w:val="00B00899"/>
    <w:rsid w:val="00B60D27"/>
    <w:rsid w:val="00B67043"/>
    <w:rsid w:val="00B703DB"/>
    <w:rsid w:val="00B818C3"/>
    <w:rsid w:val="00B87B43"/>
    <w:rsid w:val="00B934DB"/>
    <w:rsid w:val="00BA2AA2"/>
    <w:rsid w:val="00BC4C64"/>
    <w:rsid w:val="00BF5D30"/>
    <w:rsid w:val="00C07AF2"/>
    <w:rsid w:val="00C913A4"/>
    <w:rsid w:val="00CA42EA"/>
    <w:rsid w:val="00CD223E"/>
    <w:rsid w:val="00CE1082"/>
    <w:rsid w:val="00D36D21"/>
    <w:rsid w:val="00D503B9"/>
    <w:rsid w:val="00D63F9C"/>
    <w:rsid w:val="00D67E7C"/>
    <w:rsid w:val="00DC0542"/>
    <w:rsid w:val="00DC5637"/>
    <w:rsid w:val="00E0632F"/>
    <w:rsid w:val="00E203BF"/>
    <w:rsid w:val="00E47B60"/>
    <w:rsid w:val="00E5288C"/>
    <w:rsid w:val="00E70E9F"/>
    <w:rsid w:val="00E730C5"/>
    <w:rsid w:val="00F0368F"/>
    <w:rsid w:val="00F1053C"/>
    <w:rsid w:val="00F11084"/>
    <w:rsid w:val="00F23F8D"/>
    <w:rsid w:val="00F24737"/>
    <w:rsid w:val="00F73991"/>
    <w:rsid w:val="00FB6535"/>
    <w:rsid w:val="00FF46B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B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7302BD"/>
    <w:pPr>
      <w:ind w:left="268" w:right="267"/>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FA"/>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7302B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302BD"/>
    <w:rPr>
      <w:sz w:val="24"/>
      <w:szCs w:val="24"/>
    </w:rPr>
  </w:style>
  <w:style w:type="character" w:customStyle="1" w:styleId="BodyTextChar">
    <w:name w:val="Body Text Char"/>
    <w:basedOn w:val="DefaultParagraphFont"/>
    <w:link w:val="BodyText"/>
    <w:uiPriority w:val="99"/>
    <w:semiHidden/>
    <w:rsid w:val="00F204FA"/>
    <w:rPr>
      <w:rFonts w:ascii="Times New Roman" w:eastAsia="Times New Roman" w:hAnsi="Times New Roman"/>
    </w:rPr>
  </w:style>
  <w:style w:type="paragraph" w:styleId="ListParagraph">
    <w:name w:val="List Paragraph"/>
    <w:basedOn w:val="Normal"/>
    <w:uiPriority w:val="99"/>
    <w:qFormat/>
    <w:rsid w:val="007302BD"/>
  </w:style>
  <w:style w:type="paragraph" w:customStyle="1" w:styleId="TableParagraph">
    <w:name w:val="Table Paragraph"/>
    <w:basedOn w:val="Normal"/>
    <w:uiPriority w:val="99"/>
    <w:rsid w:val="007302BD"/>
    <w:pPr>
      <w:spacing w:before="75"/>
      <w:ind w:right="49"/>
      <w:jc w:val="right"/>
    </w:pPr>
  </w:style>
  <w:style w:type="paragraph" w:styleId="BalloonText">
    <w:name w:val="Balloon Text"/>
    <w:basedOn w:val="Normal"/>
    <w:link w:val="BalloonTextChar"/>
    <w:uiPriority w:val="99"/>
    <w:semiHidden/>
    <w:rsid w:val="009875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5C4"/>
    <w:rPr>
      <w:rFonts w:ascii="Tahoma" w:hAnsi="Tahoma" w:cs="Tahoma"/>
      <w:sz w:val="16"/>
      <w:szCs w:val="16"/>
      <w:lang w:val="es-ES" w:eastAsia="es-ES"/>
    </w:rPr>
  </w:style>
  <w:style w:type="paragraph" w:styleId="Header">
    <w:name w:val="header"/>
    <w:basedOn w:val="Normal"/>
    <w:link w:val="HeaderChar"/>
    <w:uiPriority w:val="99"/>
    <w:rsid w:val="004A045C"/>
    <w:pPr>
      <w:tabs>
        <w:tab w:val="center" w:pos="4252"/>
        <w:tab w:val="right" w:pos="8504"/>
      </w:tabs>
    </w:pPr>
  </w:style>
  <w:style w:type="character" w:customStyle="1" w:styleId="HeaderChar">
    <w:name w:val="Header Char"/>
    <w:basedOn w:val="DefaultParagraphFont"/>
    <w:link w:val="Header"/>
    <w:uiPriority w:val="99"/>
    <w:locked/>
    <w:rsid w:val="004A045C"/>
    <w:rPr>
      <w:rFonts w:ascii="Times New Roman" w:hAnsi="Times New Roman" w:cs="Times New Roman"/>
      <w:lang w:val="es-ES" w:eastAsia="es-ES"/>
    </w:rPr>
  </w:style>
  <w:style w:type="paragraph" w:styleId="Footer">
    <w:name w:val="footer"/>
    <w:basedOn w:val="Normal"/>
    <w:link w:val="FooterChar"/>
    <w:uiPriority w:val="99"/>
    <w:rsid w:val="004A045C"/>
    <w:pPr>
      <w:tabs>
        <w:tab w:val="center" w:pos="4252"/>
        <w:tab w:val="right" w:pos="8504"/>
      </w:tabs>
    </w:pPr>
  </w:style>
  <w:style w:type="character" w:customStyle="1" w:styleId="FooterChar">
    <w:name w:val="Footer Char"/>
    <w:basedOn w:val="DefaultParagraphFont"/>
    <w:link w:val="Footer"/>
    <w:uiPriority w:val="99"/>
    <w:locked/>
    <w:rsid w:val="004A045C"/>
    <w:rPr>
      <w:rFonts w:ascii="Times New Roman" w:hAnsi="Times New Roman" w:cs="Times New Roman"/>
      <w:lang w:val="es-ES" w:eastAsia="es-ES"/>
    </w:rPr>
  </w:style>
  <w:style w:type="character" w:styleId="Hyperlink">
    <w:name w:val="Hyperlink"/>
    <w:basedOn w:val="DefaultParagraphFont"/>
    <w:uiPriority w:val="99"/>
    <w:rsid w:val="00B60D27"/>
    <w:rPr>
      <w:rFonts w:cs="Times New Roman"/>
      <w:color w:val="0000FF"/>
      <w:u w:val="single"/>
    </w:rPr>
  </w:style>
  <w:style w:type="character" w:customStyle="1" w:styleId="UnresolvedMention">
    <w:name w:val="Unresolved Mention"/>
    <w:basedOn w:val="DefaultParagraphFont"/>
    <w:uiPriority w:val="99"/>
    <w:semiHidden/>
    <w:rsid w:val="00B60D2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stiona-04.espublico.com/dossier.14?x=Mje*LGaSoMr56W1TyKlm8CFqtHv3naF9ZcL5D2fiKvM9LYzK*0dYG3bjspLqyuHIPbKdWPZypZqLAXr4z3x7Ii-jh0McKyZydd686sQwnhOa9ExQckHMECpKZ4X89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779</Words>
  <Characters>4286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- 20200204_Informe_Informe servicios facturados por Quironprevención, S.L.U. \(FRA 0120030840\))</dc:title>
  <dc:subject/>
  <dc:creator>FPO</dc:creator>
  <cp:keywords/>
  <dc:description/>
  <cp:lastModifiedBy>jcarrasco</cp:lastModifiedBy>
  <cp:revision>3</cp:revision>
  <cp:lastPrinted>2020-09-02T10:31:00Z</cp:lastPrinted>
  <dcterms:created xsi:type="dcterms:W3CDTF">2020-09-09T11:21:00Z</dcterms:created>
  <dcterms:modified xsi:type="dcterms:W3CDTF">2020-09-09T11:23:00Z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